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68" w:rsidRDefault="007C1B5D" w:rsidP="003C7072">
      <w:pPr>
        <w:pStyle w:val="BodyText"/>
        <w:ind w:left="709"/>
        <w:rPr>
          <w:rFonts w:cs="Arial"/>
        </w:rPr>
      </w:pPr>
      <w:r>
        <w:rPr>
          <w:rFonts w:cs="Arial"/>
        </w:rPr>
        <w:tab/>
      </w:r>
      <w:r w:rsidR="00055968">
        <w:rPr>
          <w:rFonts w:cs="Arial"/>
        </w:rPr>
        <w:tab/>
      </w:r>
    </w:p>
    <w:p w:rsidR="00BE16BB" w:rsidRDefault="00BE16BB" w:rsidP="008D1345">
      <w:pPr>
        <w:pStyle w:val="BodyText"/>
        <w:ind w:left="720" w:firstLine="720"/>
        <w:rPr>
          <w:rFonts w:cs="Arial"/>
        </w:rPr>
      </w:pPr>
    </w:p>
    <w:p w:rsidR="00BE16BB" w:rsidRDefault="00BE16BB" w:rsidP="008D1345">
      <w:pPr>
        <w:pStyle w:val="BodyText"/>
        <w:ind w:left="720" w:firstLine="720"/>
        <w:rPr>
          <w:rFonts w:cs="Arial"/>
        </w:rPr>
      </w:pPr>
      <w:r>
        <w:rPr>
          <w:rFonts w:cs="Arial"/>
        </w:rPr>
        <w:t xml:space="preserve">In this connection relevant paragraph of Supreme Court Full Bench </w:t>
      </w:r>
      <w:r w:rsidR="00230C15">
        <w:rPr>
          <w:rFonts w:cs="Arial"/>
        </w:rPr>
        <w:t xml:space="preserve">Judgment in the case of </w:t>
      </w:r>
      <w:proofErr w:type="spellStart"/>
      <w:r w:rsidR="00230C15">
        <w:rPr>
          <w:rFonts w:cs="Arial"/>
        </w:rPr>
        <w:t>Shri</w:t>
      </w:r>
      <w:proofErr w:type="spellEnd"/>
      <w:r w:rsidR="00230C15">
        <w:rPr>
          <w:rFonts w:cs="Arial"/>
        </w:rPr>
        <w:t xml:space="preserve"> D.S. </w:t>
      </w:r>
      <w:proofErr w:type="spellStart"/>
      <w:r w:rsidR="00230C15">
        <w:rPr>
          <w:rFonts w:cs="Arial"/>
        </w:rPr>
        <w:t>Nakar</w:t>
      </w:r>
      <w:r>
        <w:rPr>
          <w:rFonts w:cs="Arial"/>
        </w:rPr>
        <w:t>a</w:t>
      </w:r>
      <w:proofErr w:type="spellEnd"/>
      <w:r>
        <w:rPr>
          <w:rFonts w:cs="Arial"/>
        </w:rPr>
        <w:t xml:space="preserve"> &amp; others were given below :</w:t>
      </w:r>
    </w:p>
    <w:p w:rsidR="00BE16BB" w:rsidRDefault="00BE16BB" w:rsidP="008D1345">
      <w:pPr>
        <w:pStyle w:val="BodyText"/>
        <w:ind w:left="720" w:firstLine="720"/>
        <w:rPr>
          <w:rFonts w:cs="Arial"/>
        </w:rPr>
      </w:pPr>
    </w:p>
    <w:p w:rsidR="00A503AE" w:rsidRDefault="00D257D3">
      <w:pPr>
        <w:pStyle w:val="BodyText"/>
        <w:rPr>
          <w:rFonts w:cs="Arial"/>
        </w:rPr>
      </w:pPr>
      <w:r>
        <w:rPr>
          <w:rFonts w:cs="Arial"/>
        </w:rPr>
        <w:t xml:space="preserve">              </w:t>
      </w:r>
      <w:proofErr w:type="gramStart"/>
      <w:r w:rsidR="00BE16BB">
        <w:rPr>
          <w:rFonts w:cs="Arial"/>
        </w:rPr>
        <w:t>Quote :</w:t>
      </w:r>
      <w:proofErr w:type="gramEnd"/>
    </w:p>
    <w:p w:rsidR="00BE16BB" w:rsidRDefault="00BE16BB" w:rsidP="008D1345">
      <w:pPr>
        <w:pStyle w:val="BodyText"/>
        <w:ind w:left="720" w:firstLine="720"/>
        <w:rPr>
          <w:rFonts w:cs="Arial"/>
        </w:rPr>
      </w:pPr>
    </w:p>
    <w:p w:rsidR="00146586" w:rsidRDefault="00BE16BB" w:rsidP="00E50A7C">
      <w:pPr>
        <w:pStyle w:val="BodyText"/>
        <w:numPr>
          <w:ilvl w:val="0"/>
          <w:numId w:val="4"/>
        </w:numPr>
        <w:rPr>
          <w:rFonts w:cs="Arial"/>
        </w:rPr>
      </w:pPr>
      <w:r>
        <w:rPr>
          <w:rFonts w:cs="Arial"/>
        </w:rPr>
        <w:t>“The court is not making the scheme of liberalization retroactive by its approach.  Retro</w:t>
      </w:r>
      <w:r w:rsidR="004825A8">
        <w:rPr>
          <w:rFonts w:cs="Arial"/>
        </w:rPr>
        <w:t xml:space="preserve"> </w:t>
      </w:r>
      <w:r>
        <w:rPr>
          <w:rFonts w:cs="Arial"/>
        </w:rPr>
        <w:t xml:space="preserve">activeness is implicit in the theory </w:t>
      </w:r>
      <w:proofErr w:type="gramStart"/>
      <w:r>
        <w:rPr>
          <w:rFonts w:cs="Arial"/>
        </w:rPr>
        <w:t xml:space="preserve">of </w:t>
      </w:r>
      <w:r w:rsidR="00055968">
        <w:rPr>
          <w:rFonts w:cs="Arial"/>
        </w:rPr>
        <w:t xml:space="preserve"> </w:t>
      </w:r>
      <w:r>
        <w:rPr>
          <w:rFonts w:cs="Arial"/>
        </w:rPr>
        <w:t>wages</w:t>
      </w:r>
      <w:proofErr w:type="gramEnd"/>
      <w:r>
        <w:rPr>
          <w:rFonts w:cs="Arial"/>
        </w:rPr>
        <w:t>.  When revised pay-scales are introduced from a certain date, all existing employees are brought on the revised scales adopting a theory of fitments and increments for part service.  The benefit of revised scales is not limited to those who enter service subsequent to the date of fixed for introducing revised scales but is extended to all those in service prior to that date</w:t>
      </w:r>
      <w:r w:rsidR="005431A0">
        <w:rPr>
          <w:rFonts w:cs="Arial"/>
        </w:rPr>
        <w:t>”</w:t>
      </w:r>
      <w:r>
        <w:rPr>
          <w:rFonts w:cs="Arial"/>
        </w:rPr>
        <w:t>.</w:t>
      </w:r>
      <w:r>
        <w:rPr>
          <w:rFonts w:cs="Arial"/>
        </w:rPr>
        <w:tab/>
      </w:r>
      <w:r>
        <w:rPr>
          <w:rFonts w:cs="Arial"/>
        </w:rPr>
        <w:tab/>
      </w:r>
    </w:p>
    <w:p w:rsidR="00BE16BB" w:rsidRDefault="00BE16BB" w:rsidP="00BE16BB">
      <w:pPr>
        <w:pStyle w:val="BodyText"/>
        <w:ind w:left="720" w:firstLine="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257D3">
        <w:rPr>
          <w:rFonts w:cs="Arial"/>
        </w:rPr>
        <w:t xml:space="preserve">     </w:t>
      </w:r>
      <w:r>
        <w:rPr>
          <w:rFonts w:cs="Arial"/>
        </w:rPr>
        <w:t>Unquote</w:t>
      </w:r>
    </w:p>
    <w:p w:rsidR="00A503AE" w:rsidRDefault="00D257D3">
      <w:pPr>
        <w:pStyle w:val="BodyText"/>
        <w:rPr>
          <w:rFonts w:cs="Arial"/>
        </w:rPr>
      </w:pPr>
      <w:r>
        <w:rPr>
          <w:rFonts w:cs="Arial"/>
        </w:rPr>
        <w:t xml:space="preserve">             </w:t>
      </w:r>
    </w:p>
    <w:p w:rsidR="00A503AE" w:rsidRDefault="00D257D3">
      <w:pPr>
        <w:pStyle w:val="BodyText"/>
        <w:rPr>
          <w:rFonts w:cs="Arial"/>
        </w:rPr>
      </w:pPr>
      <w:r>
        <w:rPr>
          <w:rFonts w:cs="Arial"/>
        </w:rPr>
        <w:t xml:space="preserve">              </w:t>
      </w:r>
      <w:proofErr w:type="gramStart"/>
      <w:r w:rsidR="00BE16BB">
        <w:rPr>
          <w:rFonts w:cs="Arial"/>
        </w:rPr>
        <w:t>Quote :</w:t>
      </w:r>
      <w:proofErr w:type="gramEnd"/>
    </w:p>
    <w:p w:rsidR="00BE16BB" w:rsidRDefault="00BE16BB" w:rsidP="00BE16BB">
      <w:pPr>
        <w:pStyle w:val="BodyText"/>
        <w:ind w:left="720" w:firstLine="720"/>
        <w:rPr>
          <w:rFonts w:cs="Arial"/>
        </w:rPr>
      </w:pPr>
    </w:p>
    <w:p w:rsidR="00BE16BB" w:rsidRDefault="00BE16BB" w:rsidP="00E50A7C">
      <w:pPr>
        <w:pStyle w:val="BodyText"/>
        <w:numPr>
          <w:ilvl w:val="0"/>
          <w:numId w:val="4"/>
        </w:numPr>
        <w:rPr>
          <w:rFonts w:cs="Arial"/>
        </w:rPr>
      </w:pPr>
      <w:r>
        <w:rPr>
          <w:rFonts w:cs="Arial"/>
        </w:rPr>
        <w:t xml:space="preserve">“The criteria made applicable was being in service and retiring subsequent to the specified date.  This court held that for being eligible for </w:t>
      </w:r>
      <w:proofErr w:type="spellStart"/>
      <w:r w:rsidR="00BD18A0">
        <w:rPr>
          <w:rFonts w:cs="Arial"/>
        </w:rPr>
        <w:t>liberalised</w:t>
      </w:r>
      <w:proofErr w:type="spellEnd"/>
      <w:r>
        <w:rPr>
          <w:rFonts w:cs="Arial"/>
        </w:rPr>
        <w:t xml:space="preserve"> pension Scheme, application of such criteria is violation of Article 14 of the Constitution, as it was both arbitrary and discriminatory in nature.  The division which classified the pension</w:t>
      </w:r>
      <w:r w:rsidR="00E50A7C">
        <w:rPr>
          <w:rFonts w:cs="Arial"/>
        </w:rPr>
        <w:t>er</w:t>
      </w:r>
      <w:r>
        <w:rPr>
          <w:rFonts w:cs="Arial"/>
        </w:rPr>
        <w:t xml:space="preserve">s into classes on the basis of the specified date was devoid and in principal being </w:t>
      </w:r>
      <w:r w:rsidR="00EC11EF">
        <w:rPr>
          <w:rFonts w:cs="Arial"/>
        </w:rPr>
        <w:t xml:space="preserve">unrelated </w:t>
      </w:r>
      <w:r w:rsidR="006965DC">
        <w:rPr>
          <w:rFonts w:cs="Arial"/>
        </w:rPr>
        <w:t>to the object sought</w:t>
      </w:r>
      <w:r w:rsidR="00BD18A0">
        <w:rPr>
          <w:rFonts w:cs="Arial"/>
        </w:rPr>
        <w:t xml:space="preserve"> to be achieved by grant of </w:t>
      </w:r>
      <w:proofErr w:type="spellStart"/>
      <w:r w:rsidR="00BD18A0">
        <w:rPr>
          <w:rFonts w:cs="Arial"/>
        </w:rPr>
        <w:t>liberal</w:t>
      </w:r>
      <w:r w:rsidR="006965DC">
        <w:rPr>
          <w:rFonts w:cs="Arial"/>
        </w:rPr>
        <w:t>ised</w:t>
      </w:r>
      <w:proofErr w:type="spellEnd"/>
      <w:r w:rsidR="006965DC">
        <w:rPr>
          <w:rFonts w:cs="Arial"/>
        </w:rPr>
        <w:t xml:space="preserve"> pension and the guarantee of equal treatment contained in Article 14 was violated in as much as the pension rules which were statutory in character ma</w:t>
      </w:r>
      <w:r w:rsidR="007C1B5D">
        <w:rPr>
          <w:rFonts w:cs="Arial"/>
        </w:rPr>
        <w:t xml:space="preserve">rked </w:t>
      </w:r>
      <w:r w:rsidR="006965DC">
        <w:rPr>
          <w:rFonts w:cs="Arial"/>
        </w:rPr>
        <w:t xml:space="preserve">out differential  and discriminatory treatment to equals in the matter of computation of pension from the dates specified in the </w:t>
      </w:r>
      <w:r w:rsidR="00EC11EF">
        <w:rPr>
          <w:rFonts w:cs="Arial"/>
        </w:rPr>
        <w:t>impug</w:t>
      </w:r>
      <w:r w:rsidR="00DD5C62">
        <w:rPr>
          <w:rFonts w:cs="Arial"/>
        </w:rPr>
        <w:t>n</w:t>
      </w:r>
      <w:r w:rsidR="00EC11EF">
        <w:rPr>
          <w:rFonts w:cs="Arial"/>
        </w:rPr>
        <w:t>ed</w:t>
      </w:r>
      <w:r w:rsidR="006965DC">
        <w:rPr>
          <w:rFonts w:cs="Arial"/>
        </w:rPr>
        <w:t xml:space="preserve"> memoranda”.</w:t>
      </w:r>
    </w:p>
    <w:p w:rsidR="006965DC" w:rsidRDefault="006965DC" w:rsidP="006965DC">
      <w:pPr>
        <w:pStyle w:val="BodyText"/>
        <w:ind w:left="720" w:firstLine="720"/>
        <w:jc w:val="right"/>
        <w:rPr>
          <w:rFonts w:cs="Arial"/>
        </w:rPr>
      </w:pPr>
      <w:r>
        <w:rPr>
          <w:rFonts w:cs="Arial"/>
        </w:rPr>
        <w:t>Unquote</w:t>
      </w:r>
    </w:p>
    <w:p w:rsidR="00D257D3" w:rsidRDefault="00D257D3" w:rsidP="006965DC">
      <w:pPr>
        <w:pStyle w:val="BodyText"/>
        <w:ind w:left="720" w:firstLine="720"/>
        <w:jc w:val="right"/>
        <w:rPr>
          <w:rFonts w:cs="Arial"/>
        </w:rPr>
      </w:pPr>
    </w:p>
    <w:p w:rsidR="00A503AE" w:rsidRPr="00230C15" w:rsidRDefault="0013623C">
      <w:pPr>
        <w:pStyle w:val="NoSpacing"/>
        <w:ind w:left="709"/>
        <w:jc w:val="both"/>
        <w:rPr>
          <w:rFonts w:ascii="Bookman Old Style" w:hAnsi="Bookman Old Style" w:cs="Tahoma"/>
          <w:sz w:val="24"/>
          <w:szCs w:val="24"/>
        </w:rPr>
      </w:pPr>
      <w:r w:rsidRPr="00230C15">
        <w:rPr>
          <w:rFonts w:ascii="Bookman Old Style" w:hAnsi="Bookman Old Style" w:cs="Tahoma"/>
          <w:sz w:val="24"/>
          <w:szCs w:val="24"/>
        </w:rPr>
        <w:t>Observation in the recent judgment of the Hon’ble Supreme Court of India in Union of India Vs SPS Vains [(2008) 9 SCC 125] is also given below :-</w:t>
      </w:r>
    </w:p>
    <w:p w:rsidR="00A503AE" w:rsidRDefault="00A503AE">
      <w:pPr>
        <w:pStyle w:val="NoSpacing"/>
        <w:ind w:left="1134"/>
        <w:jc w:val="both"/>
        <w:rPr>
          <w:rFonts w:ascii="Bookman Old Style" w:hAnsi="Bookman Old Style" w:cs="Tahoma"/>
          <w:sz w:val="24"/>
          <w:szCs w:val="24"/>
        </w:rPr>
      </w:pPr>
    </w:p>
    <w:p w:rsidR="00A503AE" w:rsidRDefault="00D257D3">
      <w:pPr>
        <w:pStyle w:val="NoSpacing"/>
        <w:jc w:val="both"/>
        <w:rPr>
          <w:rFonts w:ascii="Bookman Old Style" w:hAnsi="Bookman Old Style" w:cs="Tahoma"/>
          <w:sz w:val="24"/>
          <w:szCs w:val="24"/>
        </w:rPr>
      </w:pPr>
      <w:r w:rsidRPr="00D257D3">
        <w:rPr>
          <w:rFonts w:ascii="Bookman Old Style" w:hAnsi="Bookman Old Style" w:cs="Tahoma"/>
          <w:sz w:val="24"/>
          <w:szCs w:val="24"/>
        </w:rPr>
        <w:t xml:space="preserve">              </w:t>
      </w:r>
      <w:proofErr w:type="gramStart"/>
      <w:r w:rsidR="0013623C" w:rsidRPr="0013623C">
        <w:rPr>
          <w:rFonts w:ascii="Bookman Old Style" w:hAnsi="Bookman Old Style" w:cs="Tahoma"/>
          <w:sz w:val="24"/>
          <w:szCs w:val="24"/>
        </w:rPr>
        <w:t>Quote :</w:t>
      </w:r>
      <w:proofErr w:type="gramEnd"/>
    </w:p>
    <w:p w:rsidR="00A503AE" w:rsidRDefault="00A503AE">
      <w:pPr>
        <w:pStyle w:val="NoSpacing"/>
        <w:ind w:left="1134"/>
        <w:jc w:val="both"/>
        <w:rPr>
          <w:rFonts w:ascii="Bookman Old Style" w:hAnsi="Bookman Old Style" w:cs="Tahoma"/>
          <w:sz w:val="24"/>
          <w:szCs w:val="24"/>
        </w:rPr>
      </w:pPr>
    </w:p>
    <w:p w:rsidR="00A503AE" w:rsidRDefault="0013623C">
      <w:pPr>
        <w:pStyle w:val="NoSpacing"/>
        <w:numPr>
          <w:ilvl w:val="0"/>
          <w:numId w:val="4"/>
        </w:numPr>
        <w:jc w:val="both"/>
        <w:rPr>
          <w:rFonts w:ascii="Bookman Old Style" w:hAnsi="Bookman Old Style" w:cs="Tahoma"/>
          <w:sz w:val="24"/>
          <w:szCs w:val="24"/>
        </w:rPr>
      </w:pPr>
      <w:bookmarkStart w:id="0" w:name="_GoBack"/>
      <w:bookmarkEnd w:id="0"/>
      <w:r w:rsidRPr="0013623C">
        <w:rPr>
          <w:rFonts w:ascii="Bookman Old Style" w:hAnsi="Bookman Old Style" w:cs="Tahoma"/>
          <w:sz w:val="24"/>
          <w:szCs w:val="24"/>
        </w:rPr>
        <w:t>“It shall be useful to refer the decision given by the apex court in the case of UOI Vs. SPS Vains, 2008 (9) SCC Page 125 wherein it was held that :</w:t>
      </w:r>
    </w:p>
    <w:p w:rsidR="00A503AE" w:rsidRDefault="00A503AE">
      <w:pPr>
        <w:pStyle w:val="NoSpacing"/>
        <w:ind w:left="1134"/>
        <w:jc w:val="both"/>
        <w:rPr>
          <w:rFonts w:ascii="Bookman Old Style" w:hAnsi="Bookman Old Style" w:cs="Tahoma"/>
          <w:sz w:val="24"/>
          <w:szCs w:val="24"/>
        </w:rPr>
      </w:pPr>
    </w:p>
    <w:p w:rsidR="00A503AE" w:rsidRDefault="0013623C">
      <w:pPr>
        <w:pStyle w:val="NoSpacing"/>
        <w:ind w:left="1134" w:right="4"/>
        <w:jc w:val="both"/>
        <w:rPr>
          <w:rFonts w:ascii="Bookman Old Style" w:hAnsi="Bookman Old Style" w:cs="Tahoma"/>
          <w:sz w:val="24"/>
          <w:szCs w:val="24"/>
        </w:rPr>
      </w:pPr>
      <w:r w:rsidRPr="0013623C">
        <w:rPr>
          <w:rFonts w:ascii="Bookman Old Style" w:hAnsi="Bookman Old Style" w:cs="Tahoma"/>
          <w:sz w:val="24"/>
          <w:szCs w:val="24"/>
        </w:rPr>
        <w:t>“28.</w:t>
      </w:r>
      <w:r w:rsidR="00D257D3" w:rsidRPr="00D257D3">
        <w:rPr>
          <w:rFonts w:ascii="Bookman Old Style" w:hAnsi="Bookman Old Style" w:cs="Tahoma"/>
          <w:sz w:val="24"/>
          <w:szCs w:val="24"/>
        </w:rPr>
        <w:t xml:space="preserve"> </w:t>
      </w:r>
      <w:r w:rsidRPr="0013623C">
        <w:rPr>
          <w:rFonts w:ascii="Bookman Old Style" w:hAnsi="Bookman Old Style" w:cs="Tahoma"/>
          <w:sz w:val="24"/>
          <w:szCs w:val="24"/>
        </w:rPr>
        <w:t xml:space="preserve">The question regarding creation of different classes within the same cadre on the basis of the doctrine of intelligible differentia </w:t>
      </w:r>
      <w:r w:rsidRPr="0013623C">
        <w:rPr>
          <w:rFonts w:ascii="Bookman Old Style" w:hAnsi="Bookman Old Style" w:cs="Tahoma"/>
          <w:sz w:val="24"/>
          <w:szCs w:val="24"/>
        </w:rPr>
        <w:lastRenderedPageBreak/>
        <w:t>having nexus with the object to be achieved, has fallen for consideration at various intervals for the High Court’s as well as this Court, over the years.  The said question was taken up by a Constitution Bench in the case of D.S. Nakara (supra) wherein no uncertain terms throughout the judgment it has been repeatedly observed that the date of retirement of an employee cannot form a valid criterion for classification, for if that is the criterion those who retired by the end of the month will form a class by themselves.  In the context of that case, which is similar to that of the instant case, it was held that Article 14 of the Constitution had been wholly violated, inasmuch as, the Pension Rules being statutory in character, the amended Rules, specifying a cutoff date resulted in differential and discriminatory treatment of equals in the matter of commutation of pension.  It was further observed that it would have a traumatic effect on those who retired just before that date.  The division which classified pensioners into two classes was held to be artificial and arbitrary and not based on any rational principle and whatever principle, if there was any, had not only to nexus to the objects sought to be achieved by amending the Pension Rules, but was counterproductive and ran counter to the very object of the pension scheme.  It was ultimately held that the classification did not satisfy the test of Article 14 of the Constitution.”</w:t>
      </w:r>
    </w:p>
    <w:p w:rsidR="00A503AE" w:rsidRDefault="00A503AE">
      <w:pPr>
        <w:pStyle w:val="NoSpacing"/>
        <w:ind w:left="1134" w:right="4"/>
        <w:jc w:val="both"/>
        <w:rPr>
          <w:rFonts w:ascii="Bookman Old Style" w:hAnsi="Bookman Old Style" w:cs="Tahoma"/>
          <w:sz w:val="24"/>
          <w:szCs w:val="24"/>
        </w:rPr>
      </w:pPr>
    </w:p>
    <w:p w:rsidR="00A503AE" w:rsidRDefault="0013623C">
      <w:pPr>
        <w:pStyle w:val="NoSpacing"/>
        <w:ind w:left="1134" w:right="4"/>
        <w:jc w:val="both"/>
        <w:rPr>
          <w:rFonts w:ascii="Bookman Old Style" w:hAnsi="Bookman Old Style" w:cs="Tahoma"/>
          <w:sz w:val="24"/>
          <w:szCs w:val="24"/>
        </w:rPr>
      </w:pPr>
      <w:r w:rsidRPr="0013623C">
        <w:rPr>
          <w:rFonts w:ascii="Bookman Old Style" w:hAnsi="Bookman Old Style" w:cs="Tahoma"/>
          <w:sz w:val="24"/>
          <w:szCs w:val="24"/>
        </w:rPr>
        <w:tab/>
      </w:r>
      <w:r w:rsidR="00D257D3" w:rsidRPr="00D257D3">
        <w:rPr>
          <w:rFonts w:ascii="Bookman Old Style" w:hAnsi="Bookman Old Style" w:cs="Tahoma"/>
          <w:sz w:val="24"/>
          <w:szCs w:val="24"/>
        </w:rPr>
        <w:tab/>
      </w:r>
      <w:r w:rsidR="00D257D3" w:rsidRPr="00D257D3">
        <w:rPr>
          <w:rFonts w:ascii="Bookman Old Style" w:hAnsi="Bookman Old Style" w:cs="Tahoma"/>
          <w:sz w:val="24"/>
          <w:szCs w:val="24"/>
        </w:rPr>
        <w:tab/>
      </w:r>
      <w:r w:rsidR="00D257D3" w:rsidRPr="00D257D3">
        <w:rPr>
          <w:rFonts w:ascii="Bookman Old Style" w:hAnsi="Bookman Old Style" w:cs="Tahoma"/>
          <w:sz w:val="24"/>
          <w:szCs w:val="24"/>
        </w:rPr>
        <w:tab/>
      </w:r>
      <w:r w:rsidR="00D257D3" w:rsidRPr="00D257D3">
        <w:rPr>
          <w:rFonts w:ascii="Bookman Old Style" w:hAnsi="Bookman Old Style" w:cs="Tahoma"/>
          <w:sz w:val="24"/>
          <w:szCs w:val="24"/>
        </w:rPr>
        <w:tab/>
      </w:r>
      <w:r w:rsidR="00D257D3" w:rsidRPr="00D257D3">
        <w:rPr>
          <w:rFonts w:ascii="Bookman Old Style" w:hAnsi="Bookman Old Style" w:cs="Tahoma"/>
          <w:sz w:val="24"/>
          <w:szCs w:val="24"/>
        </w:rPr>
        <w:tab/>
        <w:t xml:space="preserve">    </w:t>
      </w:r>
      <w:r w:rsidRPr="0013623C">
        <w:rPr>
          <w:rFonts w:ascii="Bookman Old Style" w:hAnsi="Bookman Old Style" w:cs="Tahoma"/>
          <w:sz w:val="24"/>
          <w:szCs w:val="24"/>
        </w:rPr>
        <w:tab/>
      </w:r>
      <w:r w:rsidRPr="0013623C">
        <w:rPr>
          <w:rFonts w:ascii="Bookman Old Style" w:hAnsi="Bookman Old Style" w:cs="Tahoma"/>
          <w:sz w:val="24"/>
          <w:szCs w:val="24"/>
        </w:rPr>
        <w:tab/>
      </w:r>
      <w:r w:rsidRPr="0013623C">
        <w:rPr>
          <w:rFonts w:ascii="Bookman Old Style" w:hAnsi="Bookman Old Style" w:cs="Tahoma"/>
          <w:sz w:val="24"/>
          <w:szCs w:val="24"/>
        </w:rPr>
        <w:tab/>
      </w:r>
      <w:r w:rsidRPr="0013623C">
        <w:rPr>
          <w:rFonts w:ascii="Bookman Old Style" w:hAnsi="Bookman Old Style" w:cs="Tahoma"/>
          <w:sz w:val="24"/>
          <w:szCs w:val="24"/>
        </w:rPr>
        <w:tab/>
      </w:r>
      <w:r w:rsidR="00D257D3" w:rsidRPr="00D257D3">
        <w:rPr>
          <w:rFonts w:ascii="Bookman Old Style" w:hAnsi="Bookman Old Style" w:cs="Tahoma"/>
          <w:sz w:val="24"/>
          <w:szCs w:val="24"/>
        </w:rPr>
        <w:t xml:space="preserve">     </w:t>
      </w:r>
      <w:r w:rsidRPr="0013623C">
        <w:rPr>
          <w:rFonts w:ascii="Bookman Old Style" w:hAnsi="Bookman Old Style" w:cs="Tahoma"/>
          <w:sz w:val="24"/>
          <w:szCs w:val="24"/>
        </w:rPr>
        <w:t>Unquote</w:t>
      </w:r>
    </w:p>
    <w:p w:rsidR="00BE16BB" w:rsidRPr="00D257D3" w:rsidRDefault="00BE16BB" w:rsidP="00BE16BB">
      <w:pPr>
        <w:pStyle w:val="BodyText"/>
        <w:ind w:left="720" w:firstLine="720"/>
        <w:rPr>
          <w:rFonts w:cs="Arial"/>
        </w:rPr>
      </w:pPr>
    </w:p>
    <w:p w:rsidR="00BE16BB" w:rsidRPr="00D257D3" w:rsidRDefault="00BE16BB" w:rsidP="00BE16BB">
      <w:pPr>
        <w:pStyle w:val="BodyText"/>
        <w:ind w:left="720" w:firstLine="720"/>
        <w:rPr>
          <w:rFonts w:cs="Arial"/>
          <w:bCs/>
        </w:rPr>
      </w:pPr>
      <w:r w:rsidRPr="00D257D3">
        <w:rPr>
          <w:rFonts w:cs="Arial"/>
        </w:rPr>
        <w:t>Whi</w:t>
      </w:r>
      <w:r w:rsidR="007C1B5D" w:rsidRPr="00D257D3">
        <w:rPr>
          <w:rFonts w:cs="Arial"/>
        </w:rPr>
        <w:t>le issu</w:t>
      </w:r>
      <w:r w:rsidRPr="00D257D3">
        <w:rPr>
          <w:rFonts w:cs="Arial"/>
        </w:rPr>
        <w:t>ing the co</w:t>
      </w:r>
      <w:r w:rsidR="007C1B5D" w:rsidRPr="00D257D3">
        <w:rPr>
          <w:rFonts w:cs="Arial"/>
        </w:rPr>
        <w:t>n</w:t>
      </w:r>
      <w:r w:rsidRPr="00D257D3">
        <w:rPr>
          <w:rFonts w:cs="Arial"/>
        </w:rPr>
        <w:t>cordance table</w:t>
      </w:r>
      <w:r w:rsidR="00230C15">
        <w:rPr>
          <w:rFonts w:cs="Arial"/>
        </w:rPr>
        <w:t xml:space="preserve"> for implementation of 7</w:t>
      </w:r>
      <w:r w:rsidR="00230C15" w:rsidRPr="00230C15">
        <w:rPr>
          <w:rFonts w:cs="Arial"/>
          <w:vertAlign w:val="superscript"/>
        </w:rPr>
        <w:t>th</w:t>
      </w:r>
      <w:r w:rsidR="00230C15">
        <w:rPr>
          <w:rFonts w:cs="Arial"/>
        </w:rPr>
        <w:t xml:space="preserve"> CPC</w:t>
      </w:r>
      <w:r w:rsidRPr="00D257D3">
        <w:rPr>
          <w:rFonts w:cs="Arial"/>
        </w:rPr>
        <w:t xml:space="preserve">, Dept. of Pension had instructed to fix pension in accordance with the rules/instructions applicable in case of any inconsistency in the concordance </w:t>
      </w:r>
      <w:proofErr w:type="gramStart"/>
      <w:r w:rsidRPr="00D257D3">
        <w:rPr>
          <w:rFonts w:cs="Arial"/>
        </w:rPr>
        <w:t>tables</w:t>
      </w:r>
      <w:proofErr w:type="gramEnd"/>
      <w:r w:rsidRPr="00D257D3">
        <w:rPr>
          <w:rFonts w:cs="Arial"/>
        </w:rPr>
        <w:t xml:space="preserve"> vis-à-vis the relevant rules.</w:t>
      </w:r>
    </w:p>
    <w:p w:rsidR="00146586" w:rsidRDefault="006D59D5" w:rsidP="00055968">
      <w:pPr>
        <w:pStyle w:val="BodyText"/>
        <w:rPr>
          <w:rFonts w:cs="Arial"/>
          <w:bCs/>
        </w:rPr>
      </w:pPr>
      <w:r>
        <w:rPr>
          <w:rFonts w:cs="Arial"/>
          <w:bCs/>
        </w:rPr>
        <w:tab/>
      </w:r>
      <w:r w:rsidR="00055968">
        <w:rPr>
          <w:rFonts w:cs="Arial"/>
          <w:bCs/>
        </w:rPr>
        <w:t xml:space="preserve">  </w:t>
      </w:r>
    </w:p>
    <w:p w:rsidR="00055968" w:rsidRDefault="006965DC" w:rsidP="007C1B5D">
      <w:pPr>
        <w:pStyle w:val="BodyText"/>
        <w:ind w:left="709" w:hanging="709"/>
        <w:rPr>
          <w:rFonts w:cs="Arial"/>
          <w:bCs/>
        </w:rPr>
      </w:pPr>
      <w:r>
        <w:rPr>
          <w:rFonts w:cs="Arial"/>
          <w:bCs/>
        </w:rPr>
        <w:tab/>
      </w:r>
      <w:r>
        <w:rPr>
          <w:rFonts w:cs="Arial"/>
          <w:bCs/>
        </w:rPr>
        <w:tab/>
      </w:r>
      <w:r w:rsidR="007C1B5D">
        <w:rPr>
          <w:rFonts w:cs="Arial"/>
          <w:bCs/>
        </w:rPr>
        <w:tab/>
      </w:r>
      <w:r>
        <w:rPr>
          <w:rFonts w:cs="Arial"/>
          <w:bCs/>
        </w:rPr>
        <w:t xml:space="preserve">In view of the prevailing situation and the Department of Atomic Energy have </w:t>
      </w:r>
      <w:r w:rsidR="00EC11EF">
        <w:rPr>
          <w:rFonts w:cs="Arial"/>
          <w:bCs/>
        </w:rPr>
        <w:t xml:space="preserve">replaced </w:t>
      </w:r>
      <w:r>
        <w:rPr>
          <w:rFonts w:cs="Arial"/>
          <w:bCs/>
        </w:rPr>
        <w:t>the scale of pay 450</w:t>
      </w:r>
      <w:r w:rsidR="00EC11EF">
        <w:rPr>
          <w:rFonts w:cs="Arial"/>
          <w:bCs/>
        </w:rPr>
        <w:t>0-</w:t>
      </w:r>
      <w:r>
        <w:rPr>
          <w:rFonts w:cs="Arial"/>
          <w:bCs/>
        </w:rPr>
        <w:t xml:space="preserve">125-7000 with 5000-150-8000 </w:t>
      </w:r>
      <w:proofErr w:type="spellStart"/>
      <w:r>
        <w:rPr>
          <w:rFonts w:cs="Arial"/>
          <w:bCs/>
        </w:rPr>
        <w:t>w.e.f</w:t>
      </w:r>
      <w:proofErr w:type="spellEnd"/>
      <w:r>
        <w:rPr>
          <w:rFonts w:cs="Arial"/>
          <w:bCs/>
        </w:rPr>
        <w:t>. 1/1/1996 for the grade of Tradesman</w:t>
      </w:r>
      <w:r w:rsidR="00230C15">
        <w:rPr>
          <w:rFonts w:cs="Arial"/>
          <w:bCs/>
        </w:rPr>
        <w:t>-E,</w:t>
      </w:r>
      <w:r>
        <w:rPr>
          <w:rFonts w:cs="Arial"/>
          <w:bCs/>
        </w:rPr>
        <w:t xml:space="preserve"> Sr. Clerk and </w:t>
      </w:r>
      <w:proofErr w:type="spellStart"/>
      <w:r>
        <w:rPr>
          <w:rFonts w:cs="Arial"/>
          <w:bCs/>
        </w:rPr>
        <w:t>Acctts</w:t>
      </w:r>
      <w:proofErr w:type="spellEnd"/>
      <w:r>
        <w:rPr>
          <w:rFonts w:cs="Arial"/>
          <w:bCs/>
        </w:rPr>
        <w:t xml:space="preserve">. </w:t>
      </w:r>
      <w:proofErr w:type="spellStart"/>
      <w:r>
        <w:rPr>
          <w:rFonts w:cs="Arial"/>
          <w:bCs/>
        </w:rPr>
        <w:t>Asstt</w:t>
      </w:r>
      <w:proofErr w:type="spellEnd"/>
      <w:r>
        <w:rPr>
          <w:rFonts w:cs="Arial"/>
          <w:bCs/>
        </w:rPr>
        <w:t xml:space="preserve">. </w:t>
      </w:r>
      <w:proofErr w:type="spellStart"/>
      <w:proofErr w:type="gramStart"/>
      <w:r w:rsidR="00EC11EF">
        <w:rPr>
          <w:rFonts w:cs="Arial"/>
          <w:bCs/>
        </w:rPr>
        <w:t>w</w:t>
      </w:r>
      <w:r>
        <w:rPr>
          <w:rFonts w:cs="Arial"/>
          <w:bCs/>
        </w:rPr>
        <w:t>.e.f</w:t>
      </w:r>
      <w:proofErr w:type="spellEnd"/>
      <w:proofErr w:type="gramEnd"/>
      <w:r>
        <w:rPr>
          <w:rFonts w:cs="Arial"/>
          <w:bCs/>
        </w:rPr>
        <w:t xml:space="preserve">. 1/1/1996, the benefit of the same </w:t>
      </w:r>
      <w:r w:rsidR="00EC11EF">
        <w:rPr>
          <w:rFonts w:cs="Arial"/>
          <w:bCs/>
        </w:rPr>
        <w:t xml:space="preserve">for calculating the </w:t>
      </w:r>
      <w:r w:rsidR="00DA50E5">
        <w:rPr>
          <w:rFonts w:cs="Arial"/>
          <w:bCs/>
        </w:rPr>
        <w:t xml:space="preserve">pension </w:t>
      </w:r>
      <w:r w:rsidR="00EC11EF">
        <w:rPr>
          <w:rFonts w:cs="Arial"/>
          <w:bCs/>
        </w:rPr>
        <w:t xml:space="preserve">are </w:t>
      </w:r>
      <w:r>
        <w:rPr>
          <w:rFonts w:cs="Arial"/>
          <w:bCs/>
        </w:rPr>
        <w:t xml:space="preserve">extended to all Tradesman </w:t>
      </w:r>
      <w:r w:rsidR="00455515">
        <w:rPr>
          <w:rFonts w:cs="Arial"/>
          <w:bCs/>
        </w:rPr>
        <w:t>–E,</w:t>
      </w:r>
      <w:r>
        <w:rPr>
          <w:rFonts w:cs="Arial"/>
          <w:bCs/>
        </w:rPr>
        <w:t xml:space="preserve"> Sr. Clerk and </w:t>
      </w:r>
      <w:proofErr w:type="spellStart"/>
      <w:r>
        <w:rPr>
          <w:rFonts w:cs="Arial"/>
          <w:bCs/>
        </w:rPr>
        <w:t>Acctt</w:t>
      </w:r>
      <w:proofErr w:type="spellEnd"/>
      <w:r>
        <w:rPr>
          <w:rFonts w:cs="Arial"/>
          <w:bCs/>
        </w:rPr>
        <w:t xml:space="preserve">. </w:t>
      </w:r>
      <w:proofErr w:type="spellStart"/>
      <w:r>
        <w:rPr>
          <w:rFonts w:cs="Arial"/>
          <w:bCs/>
        </w:rPr>
        <w:t>Asstt</w:t>
      </w:r>
      <w:proofErr w:type="spellEnd"/>
      <w:r>
        <w:rPr>
          <w:rFonts w:cs="Arial"/>
          <w:bCs/>
        </w:rPr>
        <w:t xml:space="preserve">. </w:t>
      </w:r>
      <w:proofErr w:type="gramStart"/>
      <w:r w:rsidR="007C1B5D">
        <w:rPr>
          <w:rFonts w:cs="Arial"/>
          <w:bCs/>
        </w:rPr>
        <w:t>a</w:t>
      </w:r>
      <w:r>
        <w:rPr>
          <w:rFonts w:cs="Arial"/>
          <w:bCs/>
        </w:rPr>
        <w:t>s</w:t>
      </w:r>
      <w:proofErr w:type="gramEnd"/>
      <w:r>
        <w:rPr>
          <w:rFonts w:cs="Arial"/>
          <w:bCs/>
        </w:rPr>
        <w:t xml:space="preserve"> there cannot be two type of pensioners in one cadre.</w:t>
      </w:r>
    </w:p>
    <w:p w:rsidR="006965DC" w:rsidRDefault="006965DC" w:rsidP="007C1B5D">
      <w:pPr>
        <w:pStyle w:val="BodyText"/>
        <w:ind w:left="709" w:hanging="709"/>
        <w:rPr>
          <w:rFonts w:cs="Arial"/>
          <w:bCs/>
        </w:rPr>
      </w:pPr>
    </w:p>
    <w:p w:rsidR="00354596" w:rsidRDefault="006965DC" w:rsidP="007C1B5D">
      <w:pPr>
        <w:pStyle w:val="BodyText"/>
        <w:ind w:left="709" w:hanging="709"/>
        <w:rPr>
          <w:rFonts w:cs="Arial"/>
          <w:bCs/>
        </w:rPr>
      </w:pPr>
      <w:r>
        <w:rPr>
          <w:rFonts w:cs="Arial"/>
          <w:bCs/>
        </w:rPr>
        <w:tab/>
      </w:r>
      <w:r w:rsidR="007C1B5D">
        <w:rPr>
          <w:rFonts w:cs="Arial"/>
          <w:bCs/>
        </w:rPr>
        <w:tab/>
      </w:r>
      <w:r w:rsidR="007C1B5D">
        <w:rPr>
          <w:rFonts w:cs="Arial"/>
          <w:bCs/>
        </w:rPr>
        <w:tab/>
      </w:r>
      <w:r>
        <w:rPr>
          <w:rFonts w:cs="Arial"/>
          <w:bCs/>
        </w:rPr>
        <w:t xml:space="preserve">It is understood that already some representations have been taken up by NPCIL with DAE, a logical decision may be taken as the pay scales of 1400-2300 </w:t>
      </w:r>
      <w:r w:rsidR="00EC11EF">
        <w:rPr>
          <w:rFonts w:cs="Arial"/>
          <w:bCs/>
        </w:rPr>
        <w:t>(4</w:t>
      </w:r>
      <w:r w:rsidR="00EC11EF" w:rsidRPr="00EC11EF">
        <w:rPr>
          <w:rFonts w:cs="Arial"/>
          <w:bCs/>
          <w:vertAlign w:val="superscript"/>
        </w:rPr>
        <w:t>th</w:t>
      </w:r>
      <w:r w:rsidR="00EC11EF">
        <w:rPr>
          <w:rFonts w:cs="Arial"/>
          <w:bCs/>
        </w:rPr>
        <w:t xml:space="preserve"> CPC) </w:t>
      </w:r>
      <w:r>
        <w:rPr>
          <w:rFonts w:cs="Arial"/>
          <w:bCs/>
        </w:rPr>
        <w:t xml:space="preserve">is placed in 5000-150-8000 </w:t>
      </w:r>
      <w:r w:rsidR="00EC11EF">
        <w:rPr>
          <w:rFonts w:cs="Arial"/>
          <w:bCs/>
        </w:rPr>
        <w:t>(5</w:t>
      </w:r>
      <w:r w:rsidR="00EC11EF" w:rsidRPr="00EC11EF">
        <w:rPr>
          <w:rFonts w:cs="Arial"/>
          <w:bCs/>
          <w:vertAlign w:val="superscript"/>
        </w:rPr>
        <w:t>th</w:t>
      </w:r>
      <w:r w:rsidR="00EC11EF">
        <w:rPr>
          <w:rFonts w:cs="Arial"/>
          <w:bCs/>
        </w:rPr>
        <w:t xml:space="preserve"> CPC) </w:t>
      </w:r>
      <w:r>
        <w:rPr>
          <w:rFonts w:cs="Arial"/>
          <w:bCs/>
        </w:rPr>
        <w:t>f</w:t>
      </w:r>
      <w:r w:rsidR="007C1B5D">
        <w:rPr>
          <w:rFonts w:cs="Arial"/>
          <w:bCs/>
        </w:rPr>
        <w:t>r</w:t>
      </w:r>
      <w:r>
        <w:rPr>
          <w:rFonts w:cs="Arial"/>
          <w:bCs/>
        </w:rPr>
        <w:t>om 1/1/1996</w:t>
      </w:r>
      <w:r w:rsidR="00EC11EF">
        <w:rPr>
          <w:rFonts w:cs="Arial"/>
          <w:bCs/>
        </w:rPr>
        <w:t xml:space="preserve"> and give instructions to all PAOs in DAE to revise the pension of </w:t>
      </w:r>
      <w:proofErr w:type="spellStart"/>
      <w:r w:rsidR="00EC11EF">
        <w:rPr>
          <w:rFonts w:cs="Arial"/>
          <w:bCs/>
        </w:rPr>
        <w:t>Tradesman`E</w:t>
      </w:r>
      <w:proofErr w:type="spellEnd"/>
      <w:r w:rsidR="00EC11EF">
        <w:rPr>
          <w:rFonts w:cs="Arial"/>
          <w:bCs/>
        </w:rPr>
        <w:t xml:space="preserve">’ and </w:t>
      </w:r>
      <w:proofErr w:type="spellStart"/>
      <w:r w:rsidR="00EC11EF">
        <w:rPr>
          <w:rFonts w:cs="Arial"/>
          <w:bCs/>
        </w:rPr>
        <w:t>Sr.Clerk</w:t>
      </w:r>
      <w:proofErr w:type="spellEnd"/>
      <w:r w:rsidR="00EC11EF">
        <w:rPr>
          <w:rFonts w:cs="Arial"/>
          <w:bCs/>
        </w:rPr>
        <w:t xml:space="preserve"> on the basis of 5000-150-8000 and corresponding level of pay in 7</w:t>
      </w:r>
      <w:r w:rsidR="00EC11EF" w:rsidRPr="00EC11EF">
        <w:rPr>
          <w:rFonts w:cs="Arial"/>
          <w:bCs/>
          <w:vertAlign w:val="superscript"/>
        </w:rPr>
        <w:t>th</w:t>
      </w:r>
      <w:r w:rsidR="00EC11EF">
        <w:rPr>
          <w:rFonts w:cs="Arial"/>
          <w:bCs/>
        </w:rPr>
        <w:t xml:space="preserve"> CPC.</w:t>
      </w:r>
    </w:p>
    <w:p w:rsidR="00354596" w:rsidRDefault="00354596" w:rsidP="007C1B5D">
      <w:pPr>
        <w:pStyle w:val="BodyText"/>
        <w:ind w:left="709" w:hanging="709"/>
        <w:rPr>
          <w:rFonts w:cs="Arial"/>
          <w:bCs/>
        </w:rPr>
      </w:pPr>
    </w:p>
    <w:p w:rsidR="00A503AE" w:rsidRDefault="00D257D3">
      <w:pPr>
        <w:pStyle w:val="BodyText"/>
        <w:tabs>
          <w:tab w:val="left" w:pos="1418"/>
        </w:tabs>
        <w:ind w:left="720" w:firstLine="11"/>
        <w:rPr>
          <w:rFonts w:cs="Arial"/>
          <w:bCs/>
        </w:rPr>
      </w:pPr>
      <w:r>
        <w:rPr>
          <w:rFonts w:cs="Arial"/>
          <w:bCs/>
        </w:rPr>
        <w:t xml:space="preserve">          </w:t>
      </w:r>
      <w:r w:rsidR="00354596">
        <w:rPr>
          <w:rFonts w:cs="Arial"/>
          <w:bCs/>
        </w:rPr>
        <w:t xml:space="preserve">We would appeal to you to resolve this denial of justice to a section of same cadre pensioners and request you to revise their pension </w:t>
      </w:r>
      <w:r w:rsidR="00354596">
        <w:rPr>
          <w:rFonts w:cs="Arial"/>
          <w:bCs/>
        </w:rPr>
        <w:lastRenderedPageBreak/>
        <w:t xml:space="preserve">accordingly. It may also be noted that this </w:t>
      </w:r>
      <w:proofErr w:type="gramStart"/>
      <w:r w:rsidR="00354596">
        <w:rPr>
          <w:rFonts w:cs="Arial"/>
          <w:bCs/>
        </w:rPr>
        <w:t>request  is</w:t>
      </w:r>
      <w:proofErr w:type="gramEnd"/>
      <w:r w:rsidR="00354596">
        <w:rPr>
          <w:rFonts w:cs="Arial"/>
          <w:bCs/>
        </w:rPr>
        <w:t xml:space="preserve"> in line with the </w:t>
      </w:r>
      <w:r w:rsidR="00455515">
        <w:rPr>
          <w:rFonts w:cs="Arial"/>
          <w:bCs/>
        </w:rPr>
        <w:t>Honorable</w:t>
      </w:r>
      <w:r w:rsidR="00354596">
        <w:rPr>
          <w:rFonts w:cs="Arial"/>
          <w:bCs/>
        </w:rPr>
        <w:t xml:space="preserve"> Supreme of India  judgments ,as quoted in above paras and will prevent creation of </w:t>
      </w:r>
      <w:r w:rsidR="00455515">
        <w:rPr>
          <w:rFonts w:cs="Arial"/>
          <w:bCs/>
        </w:rPr>
        <w:t xml:space="preserve">two classes of pensioners </w:t>
      </w:r>
      <w:r w:rsidR="00354596">
        <w:rPr>
          <w:rFonts w:cs="Arial"/>
          <w:bCs/>
        </w:rPr>
        <w:t xml:space="preserve">in same cadre. </w:t>
      </w:r>
    </w:p>
    <w:p w:rsidR="006965DC" w:rsidRDefault="006965DC" w:rsidP="007C1B5D">
      <w:pPr>
        <w:pStyle w:val="BodyText"/>
        <w:ind w:left="709" w:hanging="709"/>
        <w:rPr>
          <w:rFonts w:cs="Arial"/>
          <w:bCs/>
        </w:rPr>
      </w:pPr>
    </w:p>
    <w:p w:rsidR="006965DC" w:rsidRDefault="00D27AE1" w:rsidP="007C1B5D">
      <w:pPr>
        <w:pStyle w:val="BodyText"/>
        <w:ind w:left="709" w:hanging="709"/>
        <w:rPr>
          <w:rFonts w:cs="Arial"/>
          <w:bCs/>
        </w:rPr>
      </w:pPr>
      <w:r>
        <w:rPr>
          <w:rFonts w:cs="Arial"/>
          <w:bCs/>
        </w:rPr>
        <w:tab/>
        <w:t>With best regards,</w:t>
      </w:r>
    </w:p>
    <w:p w:rsidR="00D27AE1" w:rsidRDefault="00D27AE1" w:rsidP="007C1B5D">
      <w:pPr>
        <w:pStyle w:val="BodyText"/>
        <w:ind w:left="709" w:hanging="709"/>
        <w:rPr>
          <w:rFonts w:cs="Arial"/>
          <w:bCs/>
        </w:rPr>
      </w:pPr>
      <w:r>
        <w:rPr>
          <w:rFonts w:cs="Arial"/>
          <w:bCs/>
        </w:rPr>
        <w:tab/>
        <w:t>Thanking you,</w:t>
      </w:r>
    </w:p>
    <w:p w:rsidR="00D27AE1" w:rsidRDefault="00D27AE1" w:rsidP="007C1B5D">
      <w:pPr>
        <w:pStyle w:val="BodyText"/>
        <w:ind w:left="709" w:hanging="709"/>
        <w:rPr>
          <w:rFonts w:cs="Arial"/>
          <w:bCs/>
        </w:rPr>
      </w:pPr>
    </w:p>
    <w:p w:rsidR="00D27AE1" w:rsidRDefault="00D27AE1" w:rsidP="007C1B5D">
      <w:pPr>
        <w:pStyle w:val="BodyText"/>
        <w:ind w:left="709" w:hanging="709"/>
        <w:rPr>
          <w:rFonts w:cs="Arial"/>
          <w:bCs/>
        </w:rPr>
      </w:pPr>
      <w:r>
        <w:rPr>
          <w:rFonts w:cs="Arial"/>
          <w:bCs/>
        </w:rPr>
        <w:tab/>
      </w:r>
    </w:p>
    <w:p w:rsidR="00D27AE1" w:rsidRDefault="00D27AE1" w:rsidP="007C1B5D">
      <w:pPr>
        <w:pStyle w:val="BodyText"/>
        <w:ind w:left="709" w:hanging="709"/>
        <w:rPr>
          <w:rFonts w:cs="Arial"/>
          <w:bCs/>
        </w:rPr>
      </w:pPr>
    </w:p>
    <w:p w:rsidR="00D27AE1" w:rsidRDefault="00D27AE1" w:rsidP="00D27AE1">
      <w:pPr>
        <w:pStyle w:val="BodyText"/>
        <w:ind w:left="709"/>
        <w:rPr>
          <w:rFonts w:cs="Arial"/>
          <w:bCs/>
        </w:rPr>
      </w:pPr>
      <w:r>
        <w:rPr>
          <w:rFonts w:cs="Arial"/>
          <w:bCs/>
        </w:rPr>
        <w:t>(T.PREMACHANDRAN)</w:t>
      </w:r>
    </w:p>
    <w:p w:rsidR="00D27AE1" w:rsidRDefault="00D27AE1" w:rsidP="00D27AE1">
      <w:pPr>
        <w:pStyle w:val="BodyText"/>
        <w:ind w:left="709"/>
        <w:rPr>
          <w:rFonts w:cs="Arial"/>
          <w:bCs/>
        </w:rPr>
      </w:pPr>
    </w:p>
    <w:p w:rsidR="00D27AE1" w:rsidRDefault="00D27AE1" w:rsidP="007C1B5D">
      <w:pPr>
        <w:pStyle w:val="BodyText"/>
        <w:ind w:left="709" w:hanging="709"/>
        <w:rPr>
          <w:rFonts w:cs="Arial"/>
          <w:bCs/>
        </w:rPr>
      </w:pPr>
      <w:r>
        <w:rPr>
          <w:rFonts w:cs="Arial"/>
          <w:bCs/>
        </w:rPr>
        <w:tab/>
        <w:t>Jt. Secretary, AEPWF</w:t>
      </w:r>
    </w:p>
    <w:p w:rsidR="00D27AE1" w:rsidRDefault="00D27AE1" w:rsidP="007C1B5D">
      <w:pPr>
        <w:pStyle w:val="BodyText"/>
        <w:ind w:left="709" w:hanging="709"/>
        <w:rPr>
          <w:rFonts w:cs="Arial"/>
          <w:bCs/>
        </w:rPr>
      </w:pPr>
      <w:r>
        <w:rPr>
          <w:rFonts w:cs="Arial"/>
          <w:bCs/>
        </w:rPr>
        <w:tab/>
      </w:r>
    </w:p>
    <w:p w:rsidR="00D257D3" w:rsidRDefault="00D257D3" w:rsidP="007C1B5D">
      <w:pPr>
        <w:pStyle w:val="BodyText"/>
        <w:ind w:left="709" w:hanging="709"/>
        <w:rPr>
          <w:rFonts w:cs="Arial"/>
          <w:bCs/>
        </w:rPr>
      </w:pPr>
    </w:p>
    <w:p w:rsidR="00D257D3" w:rsidRDefault="00D257D3" w:rsidP="007C1B5D">
      <w:pPr>
        <w:pStyle w:val="BodyText"/>
        <w:ind w:left="709" w:hanging="709"/>
        <w:rPr>
          <w:rFonts w:cs="Arial"/>
          <w:bCs/>
        </w:rPr>
      </w:pPr>
    </w:p>
    <w:p w:rsidR="006965DC" w:rsidRDefault="00D27AE1" w:rsidP="007C1B5D">
      <w:pPr>
        <w:pStyle w:val="BodyText"/>
        <w:ind w:left="709" w:hanging="709"/>
        <w:rPr>
          <w:rFonts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p w:rsidR="00055968" w:rsidRDefault="00055968" w:rsidP="007C1B5D">
      <w:pPr>
        <w:pStyle w:val="BodyText"/>
        <w:ind w:left="709" w:hanging="709"/>
        <w:rPr>
          <w:rFonts w:cs="Arial"/>
          <w:bCs/>
        </w:rPr>
      </w:pPr>
    </w:p>
    <w:p w:rsidR="00055968" w:rsidRDefault="00055968" w:rsidP="007C1B5D">
      <w:pPr>
        <w:pStyle w:val="BodyText"/>
        <w:ind w:left="709" w:hanging="709"/>
        <w:rPr>
          <w:rFonts w:cs="Arial"/>
          <w:bCs/>
        </w:rPr>
      </w:pPr>
    </w:p>
    <w:p w:rsidR="00055968" w:rsidRDefault="00055968"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6965DC" w:rsidRDefault="006965DC" w:rsidP="007C1B5D">
      <w:pPr>
        <w:pStyle w:val="BodyText"/>
        <w:ind w:left="709" w:hanging="709"/>
        <w:rPr>
          <w:rFonts w:cs="Arial"/>
          <w:bCs/>
        </w:rPr>
      </w:pPr>
    </w:p>
    <w:p w:rsidR="00865B9F" w:rsidRPr="0028061D" w:rsidRDefault="006965DC" w:rsidP="007C1B5D">
      <w:pPr>
        <w:spacing w:after="0" w:line="240" w:lineRule="auto"/>
        <w:ind w:left="709" w:hanging="709"/>
        <w:rPr>
          <w:rFonts w:ascii="Bookman Old Style" w:hAnsi="Bookman Old Style"/>
          <w:sz w:val="24"/>
          <w:szCs w:val="24"/>
        </w:rPr>
      </w:pPr>
      <w:r>
        <w:rPr>
          <w:rFonts w:ascii="Bookman Old Style" w:hAnsi="Bookman Old Style"/>
          <w:sz w:val="24"/>
          <w:szCs w:val="24"/>
        </w:rPr>
        <w:t xml:space="preserve"> </w:t>
      </w:r>
    </w:p>
    <w:p w:rsidR="00865B9F" w:rsidRPr="0028061D" w:rsidRDefault="00865B9F" w:rsidP="007C1B5D">
      <w:pPr>
        <w:spacing w:after="0" w:line="240" w:lineRule="auto"/>
        <w:ind w:left="709" w:hanging="709"/>
        <w:rPr>
          <w:rFonts w:ascii="Bookman Old Style" w:hAnsi="Bookman Old Style"/>
          <w:sz w:val="24"/>
          <w:szCs w:val="24"/>
        </w:rPr>
      </w:pPr>
    </w:p>
    <w:sectPr w:rsidR="00865B9F" w:rsidRPr="0028061D" w:rsidSect="00FB7DB9">
      <w:footerReference w:type="default" r:id="rId7"/>
      <w:pgSz w:w="12240" w:h="15840"/>
      <w:pgMar w:top="144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170" w:rsidRDefault="003E7170" w:rsidP="00DA3C4C">
      <w:pPr>
        <w:spacing w:after="0" w:line="240" w:lineRule="auto"/>
      </w:pPr>
      <w:r>
        <w:separator/>
      </w:r>
    </w:p>
  </w:endnote>
  <w:endnote w:type="continuationSeparator" w:id="0">
    <w:p w:rsidR="003E7170" w:rsidRDefault="003E7170" w:rsidP="00DA3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15" w:rsidRDefault="00C0771A">
    <w:pPr>
      <w:pStyle w:val="Footer"/>
      <w:jc w:val="center"/>
    </w:pPr>
    <w:r>
      <w:t xml:space="preserve"> </w:t>
    </w:r>
  </w:p>
  <w:p w:rsidR="004C3B15" w:rsidRDefault="004C3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170" w:rsidRDefault="003E7170" w:rsidP="00DA3C4C">
      <w:pPr>
        <w:spacing w:after="0" w:line="240" w:lineRule="auto"/>
      </w:pPr>
      <w:r>
        <w:separator/>
      </w:r>
    </w:p>
  </w:footnote>
  <w:footnote w:type="continuationSeparator" w:id="0">
    <w:p w:rsidR="003E7170" w:rsidRDefault="003E7170" w:rsidP="00DA3C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91475"/>
    <w:multiLevelType w:val="hybridMultilevel"/>
    <w:tmpl w:val="DEA86E78"/>
    <w:lvl w:ilvl="0" w:tplc="351A9CF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nsid w:val="47427FF3"/>
    <w:multiLevelType w:val="hybridMultilevel"/>
    <w:tmpl w:val="41E08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102CF"/>
    <w:multiLevelType w:val="hybridMultilevel"/>
    <w:tmpl w:val="2AA0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B4FAC"/>
    <w:multiLevelType w:val="hybridMultilevel"/>
    <w:tmpl w:val="E982DF56"/>
    <w:lvl w:ilvl="0" w:tplc="9B9AF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yasawant">
    <w15:presenceInfo w15:providerId="None" w15:userId="Priyasawan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2C0D1B"/>
    <w:rsid w:val="000218AB"/>
    <w:rsid w:val="00034E8B"/>
    <w:rsid w:val="000413B3"/>
    <w:rsid w:val="00055968"/>
    <w:rsid w:val="0007204D"/>
    <w:rsid w:val="00081A13"/>
    <w:rsid w:val="000A4A8C"/>
    <w:rsid w:val="000A742D"/>
    <w:rsid w:val="000A768D"/>
    <w:rsid w:val="000A7D88"/>
    <w:rsid w:val="000B36ED"/>
    <w:rsid w:val="000E5450"/>
    <w:rsid w:val="000F054A"/>
    <w:rsid w:val="000F1815"/>
    <w:rsid w:val="000F1E98"/>
    <w:rsid w:val="000F25EB"/>
    <w:rsid w:val="000F510A"/>
    <w:rsid w:val="0010730B"/>
    <w:rsid w:val="0013623C"/>
    <w:rsid w:val="00143F38"/>
    <w:rsid w:val="00146586"/>
    <w:rsid w:val="00146ED6"/>
    <w:rsid w:val="00160439"/>
    <w:rsid w:val="00163802"/>
    <w:rsid w:val="0016526D"/>
    <w:rsid w:val="00165B75"/>
    <w:rsid w:val="001755F6"/>
    <w:rsid w:val="001B0553"/>
    <w:rsid w:val="001C364A"/>
    <w:rsid w:val="00204C87"/>
    <w:rsid w:val="00206888"/>
    <w:rsid w:val="00206928"/>
    <w:rsid w:val="00230C15"/>
    <w:rsid w:val="002325FA"/>
    <w:rsid w:val="002451CB"/>
    <w:rsid w:val="002454A4"/>
    <w:rsid w:val="00272E1E"/>
    <w:rsid w:val="0028061D"/>
    <w:rsid w:val="002819FE"/>
    <w:rsid w:val="00297629"/>
    <w:rsid w:val="002C0D1B"/>
    <w:rsid w:val="002D79E4"/>
    <w:rsid w:val="002F6F6A"/>
    <w:rsid w:val="003009DB"/>
    <w:rsid w:val="003022BA"/>
    <w:rsid w:val="003221D4"/>
    <w:rsid w:val="0032784C"/>
    <w:rsid w:val="00354596"/>
    <w:rsid w:val="00355140"/>
    <w:rsid w:val="003A3449"/>
    <w:rsid w:val="003C7072"/>
    <w:rsid w:val="003E3B48"/>
    <w:rsid w:val="003E7170"/>
    <w:rsid w:val="003F3EE3"/>
    <w:rsid w:val="004171B8"/>
    <w:rsid w:val="0043119A"/>
    <w:rsid w:val="00431CB7"/>
    <w:rsid w:val="00433404"/>
    <w:rsid w:val="004345C7"/>
    <w:rsid w:val="00435135"/>
    <w:rsid w:val="00450B15"/>
    <w:rsid w:val="00455515"/>
    <w:rsid w:val="00456AD8"/>
    <w:rsid w:val="00460D23"/>
    <w:rsid w:val="00464713"/>
    <w:rsid w:val="004825A8"/>
    <w:rsid w:val="00490688"/>
    <w:rsid w:val="004A34FB"/>
    <w:rsid w:val="004A3D69"/>
    <w:rsid w:val="004B38BF"/>
    <w:rsid w:val="004C1870"/>
    <w:rsid w:val="004C3B15"/>
    <w:rsid w:val="004D4300"/>
    <w:rsid w:val="004D5E2C"/>
    <w:rsid w:val="004E12A8"/>
    <w:rsid w:val="004F3157"/>
    <w:rsid w:val="005018D2"/>
    <w:rsid w:val="00513275"/>
    <w:rsid w:val="005431A0"/>
    <w:rsid w:val="005707F4"/>
    <w:rsid w:val="00583E53"/>
    <w:rsid w:val="00586FDB"/>
    <w:rsid w:val="005964D5"/>
    <w:rsid w:val="005A43D5"/>
    <w:rsid w:val="005D4EAF"/>
    <w:rsid w:val="005E4519"/>
    <w:rsid w:val="005F1E5A"/>
    <w:rsid w:val="00604E7D"/>
    <w:rsid w:val="00605ED0"/>
    <w:rsid w:val="00611F66"/>
    <w:rsid w:val="00625206"/>
    <w:rsid w:val="00645088"/>
    <w:rsid w:val="006612D9"/>
    <w:rsid w:val="00665190"/>
    <w:rsid w:val="0067246F"/>
    <w:rsid w:val="006735CA"/>
    <w:rsid w:val="006829B6"/>
    <w:rsid w:val="00695A10"/>
    <w:rsid w:val="006965DC"/>
    <w:rsid w:val="006A5683"/>
    <w:rsid w:val="006C23FF"/>
    <w:rsid w:val="006D2F05"/>
    <w:rsid w:val="006D5991"/>
    <w:rsid w:val="006D59D5"/>
    <w:rsid w:val="006F4523"/>
    <w:rsid w:val="00701F2D"/>
    <w:rsid w:val="007027AE"/>
    <w:rsid w:val="00704838"/>
    <w:rsid w:val="00706E42"/>
    <w:rsid w:val="007072D4"/>
    <w:rsid w:val="00714A4E"/>
    <w:rsid w:val="00721492"/>
    <w:rsid w:val="00727F82"/>
    <w:rsid w:val="00744BD0"/>
    <w:rsid w:val="0075440F"/>
    <w:rsid w:val="00755EDE"/>
    <w:rsid w:val="00770ACB"/>
    <w:rsid w:val="007B0DE2"/>
    <w:rsid w:val="007B412D"/>
    <w:rsid w:val="007B49F1"/>
    <w:rsid w:val="007C0270"/>
    <w:rsid w:val="007C1B5D"/>
    <w:rsid w:val="007C7D6D"/>
    <w:rsid w:val="007D0747"/>
    <w:rsid w:val="007D0E14"/>
    <w:rsid w:val="007E246C"/>
    <w:rsid w:val="007F1AEB"/>
    <w:rsid w:val="007F1E88"/>
    <w:rsid w:val="00803EB6"/>
    <w:rsid w:val="00805224"/>
    <w:rsid w:val="00816BB9"/>
    <w:rsid w:val="00835211"/>
    <w:rsid w:val="0084301D"/>
    <w:rsid w:val="00843890"/>
    <w:rsid w:val="008453CF"/>
    <w:rsid w:val="0086274C"/>
    <w:rsid w:val="00864517"/>
    <w:rsid w:val="00865B9F"/>
    <w:rsid w:val="00867340"/>
    <w:rsid w:val="00882709"/>
    <w:rsid w:val="008B37F4"/>
    <w:rsid w:val="008C6C9D"/>
    <w:rsid w:val="008D1345"/>
    <w:rsid w:val="008E0779"/>
    <w:rsid w:val="008F7C20"/>
    <w:rsid w:val="00925D36"/>
    <w:rsid w:val="00932A86"/>
    <w:rsid w:val="00950A21"/>
    <w:rsid w:val="00961B95"/>
    <w:rsid w:val="009677B2"/>
    <w:rsid w:val="009875B6"/>
    <w:rsid w:val="00990756"/>
    <w:rsid w:val="00991A85"/>
    <w:rsid w:val="00991AAD"/>
    <w:rsid w:val="009A6E0E"/>
    <w:rsid w:val="009B4144"/>
    <w:rsid w:val="009E6560"/>
    <w:rsid w:val="009F4733"/>
    <w:rsid w:val="00A1304A"/>
    <w:rsid w:val="00A152B5"/>
    <w:rsid w:val="00A503AE"/>
    <w:rsid w:val="00A66911"/>
    <w:rsid w:val="00A83293"/>
    <w:rsid w:val="00A83F69"/>
    <w:rsid w:val="00A84EF9"/>
    <w:rsid w:val="00AA2611"/>
    <w:rsid w:val="00AB07D1"/>
    <w:rsid w:val="00AB1CCA"/>
    <w:rsid w:val="00AC0A57"/>
    <w:rsid w:val="00B52E8F"/>
    <w:rsid w:val="00B63A8C"/>
    <w:rsid w:val="00B91373"/>
    <w:rsid w:val="00B957F0"/>
    <w:rsid w:val="00B96266"/>
    <w:rsid w:val="00BB602D"/>
    <w:rsid w:val="00BC4102"/>
    <w:rsid w:val="00BD18A0"/>
    <w:rsid w:val="00BD52B8"/>
    <w:rsid w:val="00BE16BB"/>
    <w:rsid w:val="00BF4402"/>
    <w:rsid w:val="00C011B7"/>
    <w:rsid w:val="00C0771A"/>
    <w:rsid w:val="00C1495F"/>
    <w:rsid w:val="00C1624F"/>
    <w:rsid w:val="00C1789A"/>
    <w:rsid w:val="00C17FAF"/>
    <w:rsid w:val="00C21F8F"/>
    <w:rsid w:val="00C2248C"/>
    <w:rsid w:val="00C27C37"/>
    <w:rsid w:val="00C377E5"/>
    <w:rsid w:val="00C47664"/>
    <w:rsid w:val="00CB4665"/>
    <w:rsid w:val="00CC12DC"/>
    <w:rsid w:val="00CC2570"/>
    <w:rsid w:val="00CD6E53"/>
    <w:rsid w:val="00CF6167"/>
    <w:rsid w:val="00CF6193"/>
    <w:rsid w:val="00D1078A"/>
    <w:rsid w:val="00D160B6"/>
    <w:rsid w:val="00D257D3"/>
    <w:rsid w:val="00D27AE1"/>
    <w:rsid w:val="00D755CF"/>
    <w:rsid w:val="00D96840"/>
    <w:rsid w:val="00DA3C4C"/>
    <w:rsid w:val="00DA50E5"/>
    <w:rsid w:val="00DB6B5A"/>
    <w:rsid w:val="00DC0F83"/>
    <w:rsid w:val="00DC63A4"/>
    <w:rsid w:val="00DD5C62"/>
    <w:rsid w:val="00DE1379"/>
    <w:rsid w:val="00DF0B2B"/>
    <w:rsid w:val="00DF61F3"/>
    <w:rsid w:val="00E03A90"/>
    <w:rsid w:val="00E36F82"/>
    <w:rsid w:val="00E50A7C"/>
    <w:rsid w:val="00E53789"/>
    <w:rsid w:val="00E5647B"/>
    <w:rsid w:val="00E9346D"/>
    <w:rsid w:val="00E951F8"/>
    <w:rsid w:val="00EA35DE"/>
    <w:rsid w:val="00EB30E8"/>
    <w:rsid w:val="00EC0C35"/>
    <w:rsid w:val="00EC11EF"/>
    <w:rsid w:val="00ED6F97"/>
    <w:rsid w:val="00EF1E4F"/>
    <w:rsid w:val="00EF4679"/>
    <w:rsid w:val="00F07A20"/>
    <w:rsid w:val="00F340FB"/>
    <w:rsid w:val="00F43F46"/>
    <w:rsid w:val="00F47DDF"/>
    <w:rsid w:val="00F5125D"/>
    <w:rsid w:val="00F63FBA"/>
    <w:rsid w:val="00F655CD"/>
    <w:rsid w:val="00F73F17"/>
    <w:rsid w:val="00F80832"/>
    <w:rsid w:val="00F838EE"/>
    <w:rsid w:val="00F96019"/>
    <w:rsid w:val="00F96254"/>
    <w:rsid w:val="00FA0DAD"/>
    <w:rsid w:val="00FB344C"/>
    <w:rsid w:val="00FB7DB9"/>
    <w:rsid w:val="00FE7EE5"/>
    <w:rsid w:val="00FF17E8"/>
    <w:rsid w:val="00FF3A9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D1B"/>
    <w:pPr>
      <w:spacing w:after="200" w:line="276" w:lineRule="auto"/>
    </w:pPr>
    <w:rPr>
      <w:rFonts w:ascii="Calibri" w:eastAsia="Calibri" w:hAnsi="Calibri"/>
      <w:sz w:val="22"/>
      <w:szCs w:val="22"/>
      <w:lang w:bidi="ar-SA"/>
    </w:rPr>
  </w:style>
  <w:style w:type="paragraph" w:styleId="Heading1">
    <w:name w:val="heading 1"/>
    <w:basedOn w:val="Normal"/>
    <w:next w:val="Normal"/>
    <w:link w:val="Heading1Char"/>
    <w:qFormat/>
    <w:rsid w:val="00BB602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FB"/>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991A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A3C4C"/>
    <w:pPr>
      <w:tabs>
        <w:tab w:val="center" w:pos="4680"/>
        <w:tab w:val="right" w:pos="9360"/>
      </w:tabs>
      <w:spacing w:after="0" w:line="240" w:lineRule="auto"/>
    </w:pPr>
  </w:style>
  <w:style w:type="character" w:customStyle="1" w:styleId="HeaderChar">
    <w:name w:val="Header Char"/>
    <w:link w:val="Header"/>
    <w:uiPriority w:val="99"/>
    <w:rsid w:val="00DA3C4C"/>
    <w:rPr>
      <w:rFonts w:ascii="Calibri" w:eastAsia="Calibri" w:hAnsi="Calibri" w:cs="Times New Roman"/>
      <w:sz w:val="22"/>
      <w:szCs w:val="22"/>
    </w:rPr>
  </w:style>
  <w:style w:type="paragraph" w:styleId="Footer">
    <w:name w:val="footer"/>
    <w:basedOn w:val="Normal"/>
    <w:link w:val="FooterChar"/>
    <w:uiPriority w:val="99"/>
    <w:unhideWhenUsed/>
    <w:rsid w:val="00DA3C4C"/>
    <w:pPr>
      <w:tabs>
        <w:tab w:val="center" w:pos="4680"/>
        <w:tab w:val="right" w:pos="9360"/>
      </w:tabs>
      <w:spacing w:after="0" w:line="240" w:lineRule="auto"/>
    </w:pPr>
  </w:style>
  <w:style w:type="character" w:customStyle="1" w:styleId="FooterChar">
    <w:name w:val="Footer Char"/>
    <w:link w:val="Footer"/>
    <w:uiPriority w:val="99"/>
    <w:rsid w:val="00DA3C4C"/>
    <w:rPr>
      <w:rFonts w:ascii="Calibri" w:eastAsia="Calibri" w:hAnsi="Calibri" w:cs="Times New Roman"/>
      <w:sz w:val="22"/>
      <w:szCs w:val="22"/>
    </w:rPr>
  </w:style>
  <w:style w:type="paragraph" w:styleId="BodyText">
    <w:name w:val="Body Text"/>
    <w:basedOn w:val="Normal"/>
    <w:link w:val="BodyTextChar"/>
    <w:rsid w:val="00695A10"/>
    <w:pPr>
      <w:spacing w:after="0" w:line="240" w:lineRule="auto"/>
      <w:jc w:val="both"/>
    </w:pPr>
    <w:rPr>
      <w:rFonts w:ascii="Bookman Old Style" w:eastAsia="Times New Roman" w:hAnsi="Bookman Old Style"/>
      <w:sz w:val="24"/>
      <w:szCs w:val="24"/>
    </w:rPr>
  </w:style>
  <w:style w:type="character" w:customStyle="1" w:styleId="BodyTextChar">
    <w:name w:val="Body Text Char"/>
    <w:link w:val="BodyText"/>
    <w:rsid w:val="00695A10"/>
    <w:rPr>
      <w:rFonts w:ascii="Bookman Old Style" w:hAnsi="Bookman Old Style"/>
      <w:sz w:val="24"/>
      <w:szCs w:val="24"/>
    </w:rPr>
  </w:style>
  <w:style w:type="paragraph" w:styleId="BalloonText">
    <w:name w:val="Balloon Text"/>
    <w:basedOn w:val="Normal"/>
    <w:link w:val="BalloonTextChar"/>
    <w:uiPriority w:val="99"/>
    <w:semiHidden/>
    <w:unhideWhenUsed/>
    <w:rsid w:val="000F05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54A"/>
    <w:rPr>
      <w:rFonts w:ascii="Tahoma" w:eastAsia="Calibri" w:hAnsi="Tahoma" w:cs="Tahoma"/>
      <w:sz w:val="16"/>
      <w:szCs w:val="16"/>
    </w:rPr>
  </w:style>
  <w:style w:type="character" w:customStyle="1" w:styleId="Heading1Char">
    <w:name w:val="Heading 1 Char"/>
    <w:link w:val="Heading1"/>
    <w:rsid w:val="00BB602D"/>
    <w:rPr>
      <w:rFonts w:ascii="Cambria" w:eastAsia="Times New Roman" w:hAnsi="Cambria" w:cs="Times New Roman"/>
      <w:b/>
      <w:bCs/>
      <w:color w:val="365F91"/>
      <w:sz w:val="28"/>
      <w:szCs w:val="28"/>
    </w:rPr>
  </w:style>
  <w:style w:type="paragraph" w:styleId="NoSpacing">
    <w:name w:val="No Spacing"/>
    <w:uiPriority w:val="1"/>
    <w:qFormat/>
    <w:rsid w:val="00D257D3"/>
    <w:rPr>
      <w:rFonts w:ascii="Calibri" w:eastAsia="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npcil</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 Vijayarani</dc:creator>
  <cp:lastModifiedBy>Admin</cp:lastModifiedBy>
  <cp:revision>5</cp:revision>
  <cp:lastPrinted>2018-05-11T09:36:00Z</cp:lastPrinted>
  <dcterms:created xsi:type="dcterms:W3CDTF">2018-05-18T13:36:00Z</dcterms:created>
  <dcterms:modified xsi:type="dcterms:W3CDTF">2018-05-18T13:57:00Z</dcterms:modified>
</cp:coreProperties>
</file>